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E91" w:rsidRDefault="00F51E91" w:rsidP="009F1041">
      <w:pPr>
        <w:rPr>
          <w:rFonts w:ascii="Garamond" w:hAnsi="Garamond"/>
          <w:b/>
          <w:bCs/>
          <w:color w:val="000000"/>
          <w:u w:val="single"/>
        </w:rPr>
      </w:pPr>
    </w:p>
    <w:p w:rsidR="00F51E91" w:rsidRDefault="00F51E91" w:rsidP="009F1041">
      <w:pPr>
        <w:rPr>
          <w:rFonts w:ascii="Garamond" w:hAnsi="Garamond"/>
          <w:b/>
          <w:bCs/>
          <w:color w:val="000000"/>
          <w:u w:val="single"/>
        </w:rPr>
      </w:pPr>
    </w:p>
    <w:p w:rsidR="000775B8" w:rsidRPr="000775B8" w:rsidRDefault="009F1041" w:rsidP="000775B8">
      <w:pPr>
        <w:rPr>
          <w:rFonts w:ascii="Garamond" w:hAnsi="Garamond"/>
          <w:bCs/>
          <w:color w:val="000000"/>
        </w:rPr>
      </w:pPr>
      <w:r w:rsidRPr="00F12640">
        <w:rPr>
          <w:rFonts w:ascii="Garamond" w:hAnsi="Garamond"/>
          <w:b/>
          <w:bCs/>
          <w:color w:val="000000"/>
          <w:u w:val="single"/>
        </w:rPr>
        <w:t>PURPOSE:</w:t>
      </w:r>
      <w:r w:rsidRPr="00F12640">
        <w:rPr>
          <w:rFonts w:ascii="Garamond" w:hAnsi="Garamond"/>
          <w:color w:val="000000"/>
        </w:rPr>
        <w:t xml:space="preserve"> </w:t>
      </w:r>
      <w:r w:rsidR="000775B8" w:rsidRPr="000775B8">
        <w:rPr>
          <w:rFonts w:ascii="Garamond" w:hAnsi="Garamond"/>
          <w:bCs/>
          <w:color w:val="000000"/>
        </w:rPr>
        <w:t>This describes the procedures to when a Sponsor/CRO audit occurs to assess this site’s extent of compliance with regulatory requirements/guidelines and SOP’s for conducting clinical research.</w:t>
      </w:r>
    </w:p>
    <w:p w:rsidR="009F1041" w:rsidRPr="00F12640" w:rsidRDefault="009F1041" w:rsidP="00993D9C">
      <w:pPr>
        <w:rPr>
          <w:rFonts w:ascii="Garamond" w:hAnsi="Garamond"/>
          <w:color w:val="000000"/>
        </w:rPr>
      </w:pPr>
    </w:p>
    <w:p w:rsidR="000775B8" w:rsidRPr="000775B8" w:rsidRDefault="009F1041" w:rsidP="000775B8">
      <w:pPr>
        <w:rPr>
          <w:rFonts w:ascii="Garamond" w:hAnsi="Garamond"/>
          <w:color w:val="000000"/>
        </w:rPr>
      </w:pPr>
      <w:r w:rsidRPr="00F12640">
        <w:rPr>
          <w:rFonts w:ascii="Garamond" w:hAnsi="Garamond"/>
          <w:b/>
          <w:color w:val="000000"/>
          <w:u w:val="single"/>
        </w:rPr>
        <w:t>SCOPE:</w:t>
      </w:r>
      <w:r w:rsidRPr="00F12640">
        <w:rPr>
          <w:rFonts w:ascii="Garamond" w:hAnsi="Garamond"/>
          <w:color w:val="000000"/>
        </w:rPr>
        <w:t xml:space="preserve"> </w:t>
      </w:r>
      <w:r w:rsidR="000775B8" w:rsidRPr="000775B8">
        <w:rPr>
          <w:rFonts w:ascii="Garamond" w:hAnsi="Garamond"/>
          <w:color w:val="000000"/>
        </w:rPr>
        <w:t>This applies to the PI and all relevant staff involved in the audit.</w:t>
      </w:r>
    </w:p>
    <w:p w:rsidR="00D04EE6" w:rsidRPr="00F12640" w:rsidRDefault="002B7B3C" w:rsidP="009F1041">
      <w:pPr>
        <w:rPr>
          <w:rFonts w:ascii="Garamond" w:hAnsi="Garamond"/>
          <w:color w:val="000000"/>
        </w:rPr>
      </w:pPr>
      <w:r w:rsidRPr="00F12640">
        <w:rPr>
          <w:rFonts w:ascii="Garamond" w:hAnsi="Garamond"/>
          <w:color w:val="000000"/>
        </w:rPr>
        <w:t xml:space="preserve"> </w:t>
      </w:r>
    </w:p>
    <w:p w:rsidR="009F1041" w:rsidRPr="00F12640" w:rsidRDefault="009F1041" w:rsidP="00D04EE6">
      <w:pPr>
        <w:rPr>
          <w:rFonts w:ascii="Garamond" w:hAnsi="Garamond"/>
          <w:color w:val="000000"/>
        </w:rPr>
      </w:pPr>
      <w:r w:rsidRPr="00F12640">
        <w:rPr>
          <w:rFonts w:ascii="Garamond" w:hAnsi="Garamond"/>
          <w:b/>
          <w:color w:val="000000"/>
          <w:u w:val="single"/>
        </w:rPr>
        <w:t xml:space="preserve">PERSONNEL RESPONSIBLE: </w:t>
      </w:r>
      <w:r w:rsidRPr="00F12640">
        <w:rPr>
          <w:rFonts w:ascii="Garamond" w:hAnsi="Garamond"/>
          <w:color w:val="000000"/>
        </w:rPr>
        <w:t xml:space="preserve"> Principal Investigator and when delegated by the </w:t>
      </w:r>
      <w:r w:rsidR="00E70A3F" w:rsidRPr="00F12640">
        <w:rPr>
          <w:rFonts w:ascii="Garamond" w:hAnsi="Garamond"/>
          <w:color w:val="000000"/>
        </w:rPr>
        <w:t>Principal Investigator---- Sub-I</w:t>
      </w:r>
      <w:r w:rsidRPr="00F12640">
        <w:rPr>
          <w:rFonts w:ascii="Garamond" w:hAnsi="Garamond"/>
          <w:color w:val="000000"/>
        </w:rPr>
        <w:t xml:space="preserve">nvestigators, Study Coordinator and/or other pertinent staff.  </w:t>
      </w:r>
    </w:p>
    <w:p w:rsidR="00D04EE6" w:rsidRPr="00F12640" w:rsidRDefault="00D04EE6" w:rsidP="00D04EE6">
      <w:pPr>
        <w:rPr>
          <w:rFonts w:ascii="Garamond" w:hAnsi="Garamond"/>
          <w:color w:val="000000"/>
        </w:rPr>
      </w:pPr>
    </w:p>
    <w:p w:rsidR="002B7B3C" w:rsidRPr="00F12640" w:rsidRDefault="009F1041" w:rsidP="002B7B3C">
      <w:pPr>
        <w:rPr>
          <w:rFonts w:ascii="Garamond" w:hAnsi="Garamond"/>
          <w:b/>
          <w:bCs/>
          <w:color w:val="000000"/>
          <w:u w:val="single"/>
        </w:rPr>
      </w:pPr>
      <w:r w:rsidRPr="00F12640">
        <w:rPr>
          <w:rFonts w:ascii="Garamond" w:hAnsi="Garamond"/>
          <w:b/>
          <w:bCs/>
          <w:color w:val="000000"/>
          <w:u w:val="single"/>
        </w:rPr>
        <w:t xml:space="preserve">PROCEDURES: </w:t>
      </w:r>
    </w:p>
    <w:p w:rsidR="000775B8" w:rsidRPr="000775B8" w:rsidRDefault="000775B8" w:rsidP="000775B8">
      <w:pPr>
        <w:ind w:left="360"/>
        <w:rPr>
          <w:rFonts w:ascii="Garamond" w:hAnsi="Garamond"/>
          <w:b/>
        </w:rPr>
      </w:pPr>
      <w:r w:rsidRPr="000775B8">
        <w:rPr>
          <w:rFonts w:ascii="Garamond" w:hAnsi="Garamond"/>
          <w:b/>
        </w:rPr>
        <w:t>Preparing for the Audit</w:t>
      </w:r>
    </w:p>
    <w:p w:rsidR="000775B8" w:rsidRPr="000775B8" w:rsidRDefault="000775B8" w:rsidP="000775B8">
      <w:pPr>
        <w:numPr>
          <w:ilvl w:val="0"/>
          <w:numId w:val="18"/>
        </w:numPr>
        <w:rPr>
          <w:rFonts w:ascii="Garamond" w:hAnsi="Garamond"/>
        </w:rPr>
      </w:pPr>
      <w:r w:rsidRPr="000775B8">
        <w:rPr>
          <w:rFonts w:ascii="Garamond" w:hAnsi="Garamond"/>
        </w:rPr>
        <w:t xml:space="preserve">Upon notification of an impending audit, immediately contact all members of the research team and the IRB. </w:t>
      </w:r>
    </w:p>
    <w:p w:rsidR="000775B8" w:rsidRPr="000775B8" w:rsidRDefault="000775B8" w:rsidP="000775B8">
      <w:pPr>
        <w:numPr>
          <w:ilvl w:val="0"/>
          <w:numId w:val="18"/>
        </w:numPr>
        <w:rPr>
          <w:rFonts w:ascii="Garamond" w:hAnsi="Garamond"/>
        </w:rPr>
      </w:pPr>
      <w:r w:rsidRPr="000775B8">
        <w:rPr>
          <w:rFonts w:ascii="Garamond" w:hAnsi="Garamond"/>
        </w:rPr>
        <w:t xml:space="preserve">The </w:t>
      </w:r>
      <w:r>
        <w:rPr>
          <w:rFonts w:ascii="Garamond" w:hAnsi="Garamond"/>
        </w:rPr>
        <w:t>Study Coordinator</w:t>
      </w:r>
      <w:r w:rsidRPr="000775B8">
        <w:rPr>
          <w:rFonts w:ascii="Garamond" w:hAnsi="Garamond"/>
        </w:rPr>
        <w:t xml:space="preserve"> or designee will make certain that all required records are available and necessary arrangements are scheduled.</w:t>
      </w:r>
    </w:p>
    <w:p w:rsidR="000775B8" w:rsidRPr="000775B8" w:rsidRDefault="000775B8" w:rsidP="000775B8">
      <w:pPr>
        <w:numPr>
          <w:ilvl w:val="0"/>
          <w:numId w:val="18"/>
        </w:numPr>
        <w:rPr>
          <w:rFonts w:ascii="Garamond" w:hAnsi="Garamond"/>
        </w:rPr>
      </w:pPr>
      <w:r w:rsidRPr="000775B8">
        <w:rPr>
          <w:rFonts w:ascii="Garamond" w:hAnsi="Garamond"/>
        </w:rPr>
        <w:t>Ensure that all documentation, including ICF’s, source documents (paper and electronic), CRFs, and the regulatory binder for the study are accurate, complete and available for review by the auditor.</w:t>
      </w:r>
    </w:p>
    <w:p w:rsidR="000775B8" w:rsidRPr="000775B8" w:rsidRDefault="000775B8" w:rsidP="000775B8">
      <w:pPr>
        <w:numPr>
          <w:ilvl w:val="0"/>
          <w:numId w:val="18"/>
        </w:numPr>
        <w:rPr>
          <w:rFonts w:ascii="Garamond" w:hAnsi="Garamond"/>
        </w:rPr>
      </w:pPr>
      <w:r w:rsidRPr="000775B8">
        <w:rPr>
          <w:rFonts w:ascii="Garamond" w:hAnsi="Garamond"/>
        </w:rPr>
        <w:t>Ensure that the study drug/device accountability records are accurate, complete and available for review.  If there were any instances in which emergency breaking of the blind was required, have that documentation available for review by the auditor.</w:t>
      </w:r>
    </w:p>
    <w:p w:rsidR="000775B8" w:rsidRPr="000775B8" w:rsidRDefault="000775B8" w:rsidP="000775B8">
      <w:pPr>
        <w:numPr>
          <w:ilvl w:val="0"/>
          <w:numId w:val="18"/>
        </w:numPr>
        <w:rPr>
          <w:rFonts w:ascii="Garamond" w:hAnsi="Garamond"/>
        </w:rPr>
      </w:pPr>
      <w:r w:rsidRPr="000775B8">
        <w:rPr>
          <w:rFonts w:ascii="Garamond" w:hAnsi="Garamond"/>
        </w:rPr>
        <w:t>Ensure that records of staff qualifications, protocol training and completion of human subject research education are available for review.</w:t>
      </w:r>
    </w:p>
    <w:p w:rsidR="000775B8" w:rsidRPr="000775B8" w:rsidRDefault="000775B8" w:rsidP="000775B8">
      <w:pPr>
        <w:rPr>
          <w:rFonts w:ascii="Garamond" w:hAnsi="Garamond"/>
        </w:rPr>
      </w:pPr>
    </w:p>
    <w:p w:rsidR="000775B8" w:rsidRPr="000775B8" w:rsidRDefault="000775B8" w:rsidP="000775B8">
      <w:pPr>
        <w:ind w:left="360"/>
        <w:rPr>
          <w:rFonts w:ascii="Garamond" w:hAnsi="Garamond"/>
          <w:b/>
        </w:rPr>
      </w:pPr>
      <w:r w:rsidRPr="000775B8">
        <w:rPr>
          <w:rFonts w:ascii="Garamond" w:hAnsi="Garamond"/>
          <w:b/>
        </w:rPr>
        <w:t>During the Audit</w:t>
      </w:r>
    </w:p>
    <w:p w:rsidR="000775B8" w:rsidRPr="000775B8" w:rsidRDefault="000775B8" w:rsidP="000775B8">
      <w:pPr>
        <w:numPr>
          <w:ilvl w:val="0"/>
          <w:numId w:val="19"/>
        </w:numPr>
        <w:rPr>
          <w:rFonts w:ascii="Garamond" w:hAnsi="Garamond"/>
        </w:rPr>
      </w:pPr>
      <w:r w:rsidRPr="000775B8">
        <w:rPr>
          <w:rFonts w:ascii="Garamond" w:hAnsi="Garamond"/>
        </w:rPr>
        <w:t xml:space="preserve">The </w:t>
      </w:r>
      <w:r w:rsidRPr="00F12640">
        <w:rPr>
          <w:rFonts w:ascii="Garamond" w:hAnsi="Garamond"/>
          <w:color w:val="000000"/>
        </w:rPr>
        <w:t>Principal Investigator</w:t>
      </w:r>
      <w:r w:rsidRPr="000775B8">
        <w:rPr>
          <w:rFonts w:ascii="Garamond" w:hAnsi="Garamond"/>
        </w:rPr>
        <w:t xml:space="preserve"> and designee will meet with the auditor at the start of the audit to discuss the audit process.</w:t>
      </w:r>
    </w:p>
    <w:p w:rsidR="000775B8" w:rsidRPr="000775B8" w:rsidRDefault="000775B8" w:rsidP="000775B8">
      <w:pPr>
        <w:numPr>
          <w:ilvl w:val="0"/>
          <w:numId w:val="19"/>
        </w:numPr>
        <w:rPr>
          <w:rFonts w:ascii="Garamond" w:hAnsi="Garamond"/>
        </w:rPr>
      </w:pPr>
      <w:r w:rsidRPr="000775B8">
        <w:rPr>
          <w:rFonts w:ascii="Garamond" w:hAnsi="Garamond"/>
        </w:rPr>
        <w:t>Request to see identification/authorization from the auditor.</w:t>
      </w:r>
    </w:p>
    <w:p w:rsidR="000775B8" w:rsidRPr="000775B8" w:rsidRDefault="000775B8" w:rsidP="000775B8">
      <w:pPr>
        <w:numPr>
          <w:ilvl w:val="0"/>
          <w:numId w:val="19"/>
        </w:numPr>
        <w:rPr>
          <w:rFonts w:ascii="Garamond" w:hAnsi="Garamond"/>
        </w:rPr>
      </w:pPr>
      <w:r w:rsidRPr="000775B8">
        <w:rPr>
          <w:rFonts w:ascii="Garamond" w:hAnsi="Garamond"/>
        </w:rPr>
        <w:t>Orient the auditor to their designated work area as well as access to the study documents while on site.</w:t>
      </w:r>
    </w:p>
    <w:p w:rsidR="000775B8" w:rsidRPr="000775B8" w:rsidRDefault="000775B8" w:rsidP="000775B8">
      <w:pPr>
        <w:numPr>
          <w:ilvl w:val="0"/>
          <w:numId w:val="19"/>
        </w:numPr>
        <w:rPr>
          <w:rFonts w:ascii="Garamond" w:hAnsi="Garamond"/>
        </w:rPr>
      </w:pPr>
      <w:r w:rsidRPr="000775B8">
        <w:rPr>
          <w:rFonts w:ascii="Garamond" w:hAnsi="Garamond"/>
        </w:rPr>
        <w:t>Accompany auditor during tours and interviews.</w:t>
      </w:r>
    </w:p>
    <w:p w:rsidR="000775B8" w:rsidRPr="000775B8" w:rsidRDefault="000775B8" w:rsidP="000775B8">
      <w:pPr>
        <w:numPr>
          <w:ilvl w:val="0"/>
          <w:numId w:val="20"/>
        </w:numPr>
        <w:rPr>
          <w:rFonts w:ascii="Garamond" w:hAnsi="Garamond"/>
        </w:rPr>
      </w:pPr>
      <w:r w:rsidRPr="000775B8">
        <w:rPr>
          <w:rFonts w:ascii="Garamond" w:hAnsi="Garamond"/>
        </w:rPr>
        <w:t xml:space="preserve">Provide copies of requested study-related documents. </w:t>
      </w:r>
      <w:r w:rsidRPr="000775B8">
        <w:rPr>
          <w:rFonts w:ascii="Garamond" w:hAnsi="Garamond"/>
          <w:i/>
          <w:u w:val="single"/>
        </w:rPr>
        <w:t>Do not offer information other than what is requested.</w:t>
      </w:r>
      <w:r>
        <w:rPr>
          <w:rFonts w:ascii="Garamond" w:hAnsi="Garamond"/>
          <w:i/>
          <w:u w:val="single"/>
        </w:rPr>
        <w:t xml:space="preserve">  </w:t>
      </w:r>
      <w:r>
        <w:rPr>
          <w:rFonts w:ascii="Garamond" w:hAnsi="Garamond"/>
        </w:rPr>
        <w:t>The Study Coordinator may keep a copy or record of what has been requested.</w:t>
      </w:r>
    </w:p>
    <w:p w:rsidR="000775B8" w:rsidRPr="000775B8" w:rsidRDefault="000775B8" w:rsidP="000775B8">
      <w:pPr>
        <w:numPr>
          <w:ilvl w:val="0"/>
          <w:numId w:val="19"/>
        </w:numPr>
        <w:rPr>
          <w:rFonts w:ascii="Garamond" w:hAnsi="Garamond"/>
        </w:rPr>
      </w:pPr>
      <w:r w:rsidRPr="000775B8">
        <w:rPr>
          <w:rFonts w:ascii="Garamond" w:hAnsi="Garamond"/>
        </w:rPr>
        <w:t>Ensure that questions posed by the auditor are answered by appropriate study personnel.</w:t>
      </w:r>
    </w:p>
    <w:p w:rsidR="000775B8" w:rsidRPr="000775B8" w:rsidRDefault="000775B8" w:rsidP="000775B8">
      <w:pPr>
        <w:numPr>
          <w:ilvl w:val="0"/>
          <w:numId w:val="19"/>
        </w:numPr>
        <w:rPr>
          <w:rFonts w:ascii="Garamond" w:hAnsi="Garamond"/>
        </w:rPr>
      </w:pPr>
      <w:r w:rsidRPr="000775B8">
        <w:rPr>
          <w:rFonts w:ascii="Garamond" w:hAnsi="Garamond"/>
        </w:rPr>
        <w:t xml:space="preserve">The </w:t>
      </w:r>
      <w:r w:rsidRPr="00F12640">
        <w:rPr>
          <w:rFonts w:ascii="Garamond" w:hAnsi="Garamond"/>
          <w:color w:val="000000"/>
        </w:rPr>
        <w:t>Principal Investigator</w:t>
      </w:r>
      <w:r w:rsidRPr="000775B8">
        <w:rPr>
          <w:rFonts w:ascii="Garamond" w:hAnsi="Garamond"/>
        </w:rPr>
        <w:t xml:space="preserve"> and designee will meet with the auditor at the conclusion of the audit to discuss any questions or findings.</w:t>
      </w:r>
    </w:p>
    <w:p w:rsidR="000775B8" w:rsidRPr="000775B8" w:rsidRDefault="000775B8" w:rsidP="000775B8">
      <w:pPr>
        <w:rPr>
          <w:rFonts w:ascii="Garamond" w:hAnsi="Garamond"/>
        </w:rPr>
      </w:pPr>
    </w:p>
    <w:p w:rsidR="000775B8" w:rsidRPr="000775B8" w:rsidRDefault="000775B8" w:rsidP="000775B8">
      <w:pPr>
        <w:ind w:left="360"/>
        <w:rPr>
          <w:rFonts w:ascii="Garamond" w:hAnsi="Garamond"/>
          <w:b/>
        </w:rPr>
      </w:pPr>
      <w:r w:rsidRPr="000775B8">
        <w:rPr>
          <w:rFonts w:ascii="Garamond" w:hAnsi="Garamond"/>
          <w:b/>
        </w:rPr>
        <w:lastRenderedPageBreak/>
        <w:t xml:space="preserve">Follow-up </w:t>
      </w:r>
      <w:proofErr w:type="gramStart"/>
      <w:r w:rsidRPr="000775B8">
        <w:rPr>
          <w:rFonts w:ascii="Garamond" w:hAnsi="Garamond"/>
          <w:b/>
        </w:rPr>
        <w:t>After</w:t>
      </w:r>
      <w:proofErr w:type="gramEnd"/>
      <w:r w:rsidRPr="000775B8">
        <w:rPr>
          <w:rFonts w:ascii="Garamond" w:hAnsi="Garamond"/>
          <w:b/>
        </w:rPr>
        <w:t xml:space="preserve"> the Audit</w:t>
      </w:r>
    </w:p>
    <w:p w:rsidR="000775B8" w:rsidRDefault="000775B8" w:rsidP="000775B8">
      <w:pPr>
        <w:numPr>
          <w:ilvl w:val="0"/>
          <w:numId w:val="20"/>
        </w:numPr>
        <w:rPr>
          <w:rFonts w:ascii="Garamond" w:hAnsi="Garamond"/>
        </w:rPr>
      </w:pPr>
      <w:r w:rsidRPr="000775B8">
        <w:rPr>
          <w:rFonts w:ascii="Garamond" w:hAnsi="Garamond"/>
        </w:rPr>
        <w:t xml:space="preserve">If an audit report or other correspondence is issued, provide a copy of the report to the </w:t>
      </w:r>
      <w:r w:rsidRPr="000775B8">
        <w:rPr>
          <w:rFonts w:ascii="Garamond" w:hAnsi="Garamond"/>
          <w:color w:val="000000"/>
        </w:rPr>
        <w:t>Principal Investigator</w:t>
      </w:r>
      <w:r w:rsidRPr="000775B8">
        <w:rPr>
          <w:rFonts w:ascii="Garamond" w:hAnsi="Garamond"/>
        </w:rPr>
        <w:t xml:space="preserve">, appropriate Manager and the IRB.  </w:t>
      </w:r>
    </w:p>
    <w:p w:rsidR="000775B8" w:rsidRPr="000775B8" w:rsidRDefault="000775B8" w:rsidP="000775B8">
      <w:pPr>
        <w:numPr>
          <w:ilvl w:val="0"/>
          <w:numId w:val="20"/>
        </w:numPr>
        <w:rPr>
          <w:rFonts w:ascii="Garamond" w:hAnsi="Garamond"/>
        </w:rPr>
      </w:pPr>
      <w:r w:rsidRPr="000775B8">
        <w:rPr>
          <w:rFonts w:ascii="Garamond" w:hAnsi="Garamond"/>
        </w:rPr>
        <w:t>Prepare a response letter and reply to each item in the report, providing clarification or steps that will be taken to institute corrective action.</w:t>
      </w:r>
    </w:p>
    <w:p w:rsidR="000775B8" w:rsidRPr="000775B8" w:rsidRDefault="000775B8" w:rsidP="000775B8">
      <w:pPr>
        <w:numPr>
          <w:ilvl w:val="0"/>
          <w:numId w:val="20"/>
        </w:numPr>
        <w:rPr>
          <w:rFonts w:ascii="Garamond" w:hAnsi="Garamond"/>
        </w:rPr>
      </w:pPr>
      <w:r w:rsidRPr="000775B8">
        <w:rPr>
          <w:rFonts w:ascii="Garamond" w:hAnsi="Garamond"/>
        </w:rPr>
        <w:t>Execute corrective action.</w:t>
      </w:r>
    </w:p>
    <w:p w:rsidR="00F12640" w:rsidRPr="000775B8" w:rsidRDefault="000775B8" w:rsidP="000775B8">
      <w:pPr>
        <w:numPr>
          <w:ilvl w:val="0"/>
          <w:numId w:val="20"/>
        </w:numPr>
        <w:rPr>
          <w:rFonts w:ascii="Garamond" w:hAnsi="Garamond"/>
          <w:bCs/>
          <w:color w:val="000000"/>
        </w:rPr>
      </w:pPr>
      <w:r w:rsidRPr="000775B8">
        <w:rPr>
          <w:rFonts w:ascii="Garamond" w:hAnsi="Garamond"/>
        </w:rPr>
        <w:t>Appropriately submit and file all correspondence related to the audit.</w:t>
      </w:r>
    </w:p>
    <w:sectPr w:rsidR="00F12640" w:rsidRPr="000775B8" w:rsidSect="004B7CD6">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BEF" w:rsidRDefault="005C5BEF">
      <w:r>
        <w:separator/>
      </w:r>
    </w:p>
  </w:endnote>
  <w:endnote w:type="continuationSeparator" w:id="0">
    <w:p w:rsidR="005C5BEF" w:rsidRDefault="005C5B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00E" w:rsidRDefault="006E500E"/>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666"/>
      <w:gridCol w:w="2651"/>
      <w:gridCol w:w="4163"/>
    </w:tblGrid>
    <w:tr w:rsidR="006E500E" w:rsidRPr="00DC755A">
      <w:trPr>
        <w:tblCellSpacing w:w="15" w:type="dxa"/>
      </w:trPr>
      <w:tc>
        <w:tcPr>
          <w:tcW w:w="1382" w:type="pct"/>
          <w:tcBorders>
            <w:top w:val="outset" w:sz="6" w:space="0" w:color="auto"/>
            <w:left w:val="outset" w:sz="6" w:space="0" w:color="auto"/>
            <w:bottom w:val="outset" w:sz="6" w:space="0" w:color="auto"/>
            <w:right w:val="outset" w:sz="6" w:space="0" w:color="auto"/>
          </w:tcBorders>
          <w:shd w:val="clear" w:color="auto" w:fill="auto"/>
        </w:tcPr>
        <w:p w:rsidR="006E500E" w:rsidRPr="00DC755A" w:rsidRDefault="006E500E" w:rsidP="004B7CD6">
          <w:pPr>
            <w:jc w:val="center"/>
            <w:rPr>
              <w:rFonts w:ascii="Century Gothic" w:hAnsi="Century Gothic"/>
              <w:color w:val="000000"/>
            </w:rPr>
          </w:pPr>
          <w:r w:rsidRPr="00DC755A">
            <w:rPr>
              <w:rFonts w:ascii="Century Gothic" w:hAnsi="Century Gothic"/>
              <w:b/>
              <w:bCs/>
              <w:color w:val="000000"/>
              <w:sz w:val="27"/>
              <w:szCs w:val="27"/>
            </w:rPr>
            <w:t>Effective Date:</w:t>
          </w:r>
        </w:p>
      </w:tc>
      <w:tc>
        <w:tcPr>
          <w:tcW w:w="1382" w:type="pct"/>
          <w:tcBorders>
            <w:top w:val="outset" w:sz="6" w:space="0" w:color="auto"/>
            <w:left w:val="outset" w:sz="6" w:space="0" w:color="auto"/>
            <w:bottom w:val="outset" w:sz="6" w:space="0" w:color="auto"/>
            <w:right w:val="outset" w:sz="6" w:space="0" w:color="auto"/>
          </w:tcBorders>
          <w:shd w:val="clear" w:color="auto" w:fill="auto"/>
        </w:tcPr>
        <w:p w:rsidR="006E500E" w:rsidRPr="00DC755A" w:rsidRDefault="006E500E" w:rsidP="004B7CD6">
          <w:pPr>
            <w:jc w:val="center"/>
            <w:rPr>
              <w:rFonts w:ascii="Century Gothic" w:hAnsi="Century Gothic"/>
              <w:color w:val="000000"/>
            </w:rPr>
          </w:pPr>
          <w:r w:rsidRPr="00DC755A">
            <w:rPr>
              <w:rFonts w:ascii="Century Gothic" w:hAnsi="Century Gothic"/>
              <w:b/>
              <w:bCs/>
              <w:color w:val="000000"/>
              <w:sz w:val="27"/>
              <w:szCs w:val="27"/>
            </w:rPr>
            <w:t>Revision Date:</w:t>
          </w:r>
        </w:p>
      </w:tc>
      <w:tc>
        <w:tcPr>
          <w:tcW w:w="2172" w:type="pct"/>
          <w:tcBorders>
            <w:top w:val="outset" w:sz="6" w:space="0" w:color="auto"/>
            <w:left w:val="outset" w:sz="6" w:space="0" w:color="auto"/>
            <w:bottom w:val="outset" w:sz="6" w:space="0" w:color="auto"/>
            <w:right w:val="outset" w:sz="6" w:space="0" w:color="auto"/>
          </w:tcBorders>
          <w:shd w:val="clear" w:color="auto" w:fill="auto"/>
        </w:tcPr>
        <w:p w:rsidR="006E500E" w:rsidRPr="00DC755A" w:rsidRDefault="006E500E" w:rsidP="004B7CD6">
          <w:pPr>
            <w:jc w:val="center"/>
            <w:rPr>
              <w:rFonts w:ascii="Century Gothic" w:hAnsi="Century Gothic"/>
              <w:color w:val="000000"/>
            </w:rPr>
          </w:pPr>
          <w:r w:rsidRPr="00DC755A">
            <w:rPr>
              <w:rFonts w:ascii="Century Gothic" w:hAnsi="Century Gothic"/>
              <w:b/>
              <w:bCs/>
              <w:color w:val="000000"/>
              <w:sz w:val="27"/>
              <w:szCs w:val="27"/>
            </w:rPr>
            <w:t xml:space="preserve">Addresses </w:t>
          </w:r>
        </w:p>
      </w:tc>
    </w:tr>
    <w:tr w:rsidR="006E500E" w:rsidRPr="00DC755A">
      <w:trPr>
        <w:tblCellSpacing w:w="15" w:type="dxa"/>
      </w:trPr>
      <w:tc>
        <w:tcPr>
          <w:tcW w:w="1382" w:type="pct"/>
          <w:tcBorders>
            <w:top w:val="outset" w:sz="6" w:space="0" w:color="auto"/>
            <w:left w:val="outset" w:sz="6" w:space="0" w:color="auto"/>
            <w:bottom w:val="outset" w:sz="6" w:space="0" w:color="auto"/>
            <w:right w:val="outset" w:sz="6" w:space="0" w:color="auto"/>
          </w:tcBorders>
          <w:shd w:val="clear" w:color="auto" w:fill="auto"/>
        </w:tcPr>
        <w:p w:rsidR="006E500E" w:rsidRPr="00DC755A" w:rsidRDefault="006E500E" w:rsidP="004B7CD6">
          <w:pPr>
            <w:jc w:val="center"/>
            <w:rPr>
              <w:rFonts w:ascii="Century Gothic" w:hAnsi="Century Gothic"/>
              <w:color w:val="000000"/>
            </w:rPr>
          </w:pPr>
        </w:p>
      </w:tc>
      <w:tc>
        <w:tcPr>
          <w:tcW w:w="1382" w:type="pct"/>
          <w:tcBorders>
            <w:top w:val="outset" w:sz="6" w:space="0" w:color="auto"/>
            <w:left w:val="outset" w:sz="6" w:space="0" w:color="auto"/>
            <w:bottom w:val="outset" w:sz="6" w:space="0" w:color="auto"/>
            <w:right w:val="outset" w:sz="6" w:space="0" w:color="auto"/>
          </w:tcBorders>
          <w:shd w:val="clear" w:color="auto" w:fill="auto"/>
        </w:tcPr>
        <w:p w:rsidR="006E500E" w:rsidRPr="00DC755A" w:rsidRDefault="006E500E" w:rsidP="004B7CD6">
          <w:pPr>
            <w:jc w:val="center"/>
            <w:rPr>
              <w:rFonts w:ascii="Century Gothic" w:hAnsi="Century Gothic"/>
              <w:color w:val="000000"/>
            </w:rPr>
          </w:pPr>
        </w:p>
      </w:tc>
      <w:tc>
        <w:tcPr>
          <w:tcW w:w="2172" w:type="pct"/>
          <w:tcBorders>
            <w:top w:val="outset" w:sz="6" w:space="0" w:color="auto"/>
            <w:left w:val="outset" w:sz="6" w:space="0" w:color="auto"/>
            <w:bottom w:val="outset" w:sz="6" w:space="0" w:color="auto"/>
            <w:right w:val="outset" w:sz="6" w:space="0" w:color="auto"/>
          </w:tcBorders>
          <w:shd w:val="clear" w:color="auto" w:fill="auto"/>
        </w:tcPr>
        <w:p w:rsidR="006E500E" w:rsidRPr="00DC755A" w:rsidRDefault="006E500E" w:rsidP="004B7CD6">
          <w:pPr>
            <w:rPr>
              <w:rFonts w:ascii="Century Gothic" w:hAnsi="Century Gothic"/>
              <w:color w:val="000000"/>
            </w:rPr>
          </w:pPr>
        </w:p>
      </w:tc>
    </w:tr>
  </w:tbl>
  <w:p w:rsidR="006E500E" w:rsidRPr="00DC755A" w:rsidRDefault="006E500E">
    <w:pPr>
      <w:pStyle w:val="Footer"/>
      <w:rPr>
        <w:rFonts w:ascii="Century Gothic" w:hAnsi="Century Gothic"/>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BEF" w:rsidRDefault="005C5BEF">
      <w:r>
        <w:separator/>
      </w:r>
    </w:p>
  </w:footnote>
  <w:footnote w:type="continuationSeparator" w:id="0">
    <w:p w:rsidR="005C5BEF" w:rsidRDefault="005C5B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00E" w:rsidRPr="00DC755A" w:rsidRDefault="00DC755A" w:rsidP="004B7CD6">
    <w:pPr>
      <w:jc w:val="center"/>
      <w:rPr>
        <w:rFonts w:ascii="Century Gothic" w:hAnsi="Century Gothic"/>
        <w:color w:val="000000"/>
      </w:rPr>
    </w:pPr>
    <w:r w:rsidRPr="00DC755A">
      <w:rPr>
        <w:rFonts w:ascii="Century Gothic" w:hAnsi="Century Gothic"/>
        <w:b/>
        <w:bCs/>
        <w:color w:val="000000"/>
        <w:sz w:val="27"/>
        <w:szCs w:val="27"/>
      </w:rPr>
      <w:t>[Insert facility name]</w:t>
    </w:r>
    <w:r w:rsidR="006E500E" w:rsidRPr="00DC755A">
      <w:rPr>
        <w:rFonts w:ascii="Century Gothic" w:hAnsi="Century Gothic"/>
        <w:b/>
        <w:bCs/>
        <w:color w:val="000000"/>
        <w:sz w:val="27"/>
        <w:szCs w:val="27"/>
      </w:rPr>
      <w:t xml:space="preserve"> Standard Operating Procedure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7745"/>
      <w:gridCol w:w="1735"/>
    </w:tblGrid>
    <w:tr w:rsidR="006E500E" w:rsidRPr="00DC755A">
      <w:trPr>
        <w:tblCellSpacing w:w="15" w:type="dxa"/>
      </w:trPr>
      <w:tc>
        <w:tcPr>
          <w:tcW w:w="4061" w:type="pct"/>
          <w:tcBorders>
            <w:top w:val="outset" w:sz="6" w:space="0" w:color="auto"/>
            <w:left w:val="outset" w:sz="6" w:space="0" w:color="auto"/>
            <w:bottom w:val="outset" w:sz="6" w:space="0" w:color="auto"/>
            <w:right w:val="outset" w:sz="6" w:space="0" w:color="auto"/>
          </w:tcBorders>
          <w:shd w:val="clear" w:color="auto" w:fill="auto"/>
        </w:tcPr>
        <w:p w:rsidR="006E500E" w:rsidRPr="00DC755A" w:rsidRDefault="006E500E" w:rsidP="002B7B3C">
          <w:pPr>
            <w:rPr>
              <w:rFonts w:ascii="Century Gothic" w:hAnsi="Century Gothic"/>
              <w:b/>
              <w:color w:val="000000"/>
            </w:rPr>
          </w:pPr>
          <w:r w:rsidRPr="00DC755A">
            <w:rPr>
              <w:rFonts w:ascii="Century Gothic" w:hAnsi="Century Gothic"/>
              <w:b/>
              <w:bCs/>
              <w:color w:val="000000"/>
            </w:rPr>
            <w:t xml:space="preserve">SOP </w:t>
          </w:r>
          <w:r w:rsidRPr="00F27541">
            <w:rPr>
              <w:rFonts w:ascii="Century Gothic" w:hAnsi="Century Gothic"/>
              <w:b/>
              <w:bCs/>
              <w:color w:val="000000"/>
            </w:rPr>
            <w:t xml:space="preserve">TITLE:  </w:t>
          </w:r>
          <w:r w:rsidR="00F27541" w:rsidRPr="00F27541">
            <w:rPr>
              <w:rFonts w:ascii="Century Gothic" w:hAnsi="Century Gothic"/>
              <w:b/>
            </w:rPr>
            <w:t>Sponsor/CRO Audit</w:t>
          </w:r>
        </w:p>
      </w:tc>
      <w:tc>
        <w:tcPr>
          <w:tcW w:w="891" w:type="pct"/>
          <w:tcBorders>
            <w:top w:val="outset" w:sz="6" w:space="0" w:color="auto"/>
            <w:left w:val="outset" w:sz="6" w:space="0" w:color="auto"/>
            <w:bottom w:val="outset" w:sz="6" w:space="0" w:color="auto"/>
            <w:right w:val="outset" w:sz="6" w:space="0" w:color="auto"/>
          </w:tcBorders>
          <w:shd w:val="clear" w:color="auto" w:fill="auto"/>
        </w:tcPr>
        <w:p w:rsidR="006E500E" w:rsidRPr="00DC755A" w:rsidRDefault="006E500E" w:rsidP="004B7CD6">
          <w:pPr>
            <w:jc w:val="center"/>
            <w:rPr>
              <w:rFonts w:ascii="Century Gothic" w:hAnsi="Century Gothic"/>
              <w:b/>
              <w:color w:val="000000"/>
            </w:rPr>
          </w:pPr>
          <w:r w:rsidRPr="00DC755A">
            <w:rPr>
              <w:rFonts w:ascii="Century Gothic" w:hAnsi="Century Gothic"/>
              <w:b/>
              <w:bCs/>
              <w:color w:val="000000"/>
            </w:rPr>
            <w:t>Version # 1</w:t>
          </w:r>
        </w:p>
      </w:tc>
    </w:tr>
    <w:tr w:rsidR="006E500E" w:rsidRPr="00DC755A">
      <w:trPr>
        <w:tblCellSpacing w:w="15" w:type="dxa"/>
      </w:trPr>
      <w:tc>
        <w:tcPr>
          <w:tcW w:w="4061" w:type="pct"/>
          <w:tcBorders>
            <w:top w:val="outset" w:sz="6" w:space="0" w:color="auto"/>
            <w:left w:val="outset" w:sz="6" w:space="0" w:color="auto"/>
            <w:bottom w:val="outset" w:sz="6" w:space="0" w:color="auto"/>
            <w:right w:val="outset" w:sz="6" w:space="0" w:color="auto"/>
          </w:tcBorders>
          <w:shd w:val="clear" w:color="auto" w:fill="auto"/>
        </w:tcPr>
        <w:p w:rsidR="006E500E" w:rsidRPr="00DC755A" w:rsidRDefault="006E500E" w:rsidP="004B7CD6">
          <w:pPr>
            <w:rPr>
              <w:rFonts w:ascii="Century Gothic" w:hAnsi="Century Gothic"/>
              <w:b/>
              <w:color w:val="000000"/>
            </w:rPr>
          </w:pPr>
          <w:r w:rsidRPr="00DC755A">
            <w:rPr>
              <w:rFonts w:ascii="Century Gothic" w:hAnsi="Century Gothic"/>
              <w:b/>
              <w:color w:val="000000"/>
            </w:rPr>
            <w:t xml:space="preserve">SOP NUMBER:  </w:t>
          </w:r>
        </w:p>
      </w:tc>
      <w:tc>
        <w:tcPr>
          <w:tcW w:w="891" w:type="pct"/>
          <w:tcBorders>
            <w:top w:val="outset" w:sz="6" w:space="0" w:color="auto"/>
            <w:left w:val="outset" w:sz="6" w:space="0" w:color="auto"/>
            <w:bottom w:val="outset" w:sz="6" w:space="0" w:color="auto"/>
            <w:right w:val="outset" w:sz="6" w:space="0" w:color="auto"/>
          </w:tcBorders>
          <w:shd w:val="clear" w:color="auto" w:fill="auto"/>
        </w:tcPr>
        <w:p w:rsidR="006E500E" w:rsidRPr="00DC755A" w:rsidRDefault="0024539A" w:rsidP="004B7CD6">
          <w:pPr>
            <w:jc w:val="center"/>
            <w:rPr>
              <w:rFonts w:ascii="Century Gothic" w:hAnsi="Century Gothic"/>
              <w:b/>
              <w:color w:val="000000"/>
            </w:rPr>
          </w:pPr>
          <w:r>
            <w:rPr>
              <w:rFonts w:ascii="Century Gothic" w:hAnsi="Century Gothic"/>
              <w:b/>
              <w:noProof/>
              <w:color w:val="000000"/>
            </w:rPr>
            <w:drawing>
              <wp:inline distT="0" distB="0" distL="0" distR="0">
                <wp:extent cx="9525" cy="9525"/>
                <wp:effectExtent l="0" t="0" r="0" b="0"/>
                <wp:docPr id="1" name="Picture 1" descr="http://marlowe.mc.duke.ed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rlowe.mc.duke.edu/icons/ecblank.gif"/>
                        <pic:cNvPicPr>
                          <a:picLocks noChangeAspect="1" noChangeArrowheads="1"/>
                        </pic:cNvPicPr>
                      </pic:nvPicPr>
                      <pic:blipFill>
                        <a:blip r:embed="rId1" r:link="rId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6E500E" w:rsidRPr="00DC755A">
            <w:rPr>
              <w:rFonts w:ascii="Century Gothic" w:hAnsi="Century Gothic"/>
              <w:b/>
              <w:color w:val="000000"/>
            </w:rPr>
            <w:t xml:space="preserve">Page </w:t>
          </w:r>
          <w:r w:rsidR="00F07131" w:rsidRPr="00DC755A">
            <w:rPr>
              <w:rFonts w:ascii="Century Gothic" w:hAnsi="Century Gothic"/>
              <w:b/>
              <w:color w:val="000000"/>
            </w:rPr>
            <w:fldChar w:fldCharType="begin"/>
          </w:r>
          <w:r w:rsidR="006E500E" w:rsidRPr="00DC755A">
            <w:rPr>
              <w:rFonts w:ascii="Century Gothic" w:hAnsi="Century Gothic"/>
              <w:b/>
              <w:color w:val="000000"/>
            </w:rPr>
            <w:instrText xml:space="preserve"> PAGE </w:instrText>
          </w:r>
          <w:r w:rsidR="00F07131" w:rsidRPr="00DC755A">
            <w:rPr>
              <w:rFonts w:ascii="Century Gothic" w:hAnsi="Century Gothic"/>
              <w:b/>
              <w:color w:val="000000"/>
            </w:rPr>
            <w:fldChar w:fldCharType="separate"/>
          </w:r>
          <w:r w:rsidR="000775B8">
            <w:rPr>
              <w:rFonts w:ascii="Century Gothic" w:hAnsi="Century Gothic"/>
              <w:b/>
              <w:noProof/>
              <w:color w:val="000000"/>
            </w:rPr>
            <w:t>2</w:t>
          </w:r>
          <w:r w:rsidR="00F07131" w:rsidRPr="00DC755A">
            <w:rPr>
              <w:rFonts w:ascii="Century Gothic" w:hAnsi="Century Gothic"/>
              <w:b/>
              <w:color w:val="000000"/>
            </w:rPr>
            <w:fldChar w:fldCharType="end"/>
          </w:r>
          <w:r w:rsidR="006E500E" w:rsidRPr="00DC755A">
            <w:rPr>
              <w:rFonts w:ascii="Century Gothic" w:hAnsi="Century Gothic"/>
              <w:b/>
              <w:color w:val="000000"/>
            </w:rPr>
            <w:t xml:space="preserve"> of </w:t>
          </w:r>
          <w:r w:rsidR="00F07131" w:rsidRPr="00DC755A">
            <w:rPr>
              <w:rFonts w:ascii="Century Gothic" w:hAnsi="Century Gothic"/>
              <w:b/>
              <w:color w:val="000000"/>
            </w:rPr>
            <w:fldChar w:fldCharType="begin"/>
          </w:r>
          <w:r w:rsidR="006E500E" w:rsidRPr="00DC755A">
            <w:rPr>
              <w:rFonts w:ascii="Century Gothic" w:hAnsi="Century Gothic"/>
              <w:b/>
              <w:color w:val="000000"/>
            </w:rPr>
            <w:instrText xml:space="preserve"> NUMPAGES </w:instrText>
          </w:r>
          <w:r w:rsidR="00F07131" w:rsidRPr="00DC755A">
            <w:rPr>
              <w:rFonts w:ascii="Century Gothic" w:hAnsi="Century Gothic"/>
              <w:b/>
              <w:color w:val="000000"/>
            </w:rPr>
            <w:fldChar w:fldCharType="separate"/>
          </w:r>
          <w:r w:rsidR="000775B8">
            <w:rPr>
              <w:rFonts w:ascii="Century Gothic" w:hAnsi="Century Gothic"/>
              <w:b/>
              <w:noProof/>
              <w:color w:val="000000"/>
            </w:rPr>
            <w:t>2</w:t>
          </w:r>
          <w:r w:rsidR="00F07131" w:rsidRPr="00DC755A">
            <w:rPr>
              <w:rFonts w:ascii="Century Gothic" w:hAnsi="Century Gothic"/>
              <w:b/>
              <w:color w:val="000000"/>
            </w:rPr>
            <w:fldChar w:fldCharType="end"/>
          </w:r>
        </w:p>
      </w:tc>
    </w:tr>
  </w:tbl>
  <w:p w:rsidR="00DC755A" w:rsidRDefault="00DC755A" w:rsidP="00DC755A">
    <w:pPr>
      <w:pStyle w:val="Header"/>
      <w:jc w:val="center"/>
      <w:rPr>
        <w:rFonts w:ascii="Century Gothic" w:hAnsi="Century Gothic"/>
        <w:sz w:val="18"/>
        <w:szCs w:val="18"/>
      </w:rPr>
    </w:pPr>
  </w:p>
  <w:p w:rsidR="006E500E" w:rsidRDefault="006E50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22AD"/>
    <w:multiLevelType w:val="hybridMultilevel"/>
    <w:tmpl w:val="E9C6FCFE"/>
    <w:lvl w:ilvl="0" w:tplc="055CDC9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026B7938"/>
    <w:multiLevelType w:val="hybridMultilevel"/>
    <w:tmpl w:val="7400B824"/>
    <w:lvl w:ilvl="0" w:tplc="6FCECB8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D841F5"/>
    <w:multiLevelType w:val="hybridMultilevel"/>
    <w:tmpl w:val="E090A070"/>
    <w:lvl w:ilvl="0" w:tplc="B71A1430">
      <w:start w:val="1"/>
      <w:numFmt w:val="decimal"/>
      <w:lvlText w:val="%1."/>
      <w:lvlJc w:val="left"/>
      <w:pPr>
        <w:tabs>
          <w:tab w:val="num" w:pos="360"/>
        </w:tabs>
        <w:ind w:left="360" w:hanging="360"/>
      </w:pPr>
      <w:rPr>
        <w:rFonts w:hint="default"/>
        <w:b/>
      </w:rPr>
    </w:lvl>
    <w:lvl w:ilvl="1" w:tplc="04090005">
      <w:start w:val="1"/>
      <w:numFmt w:val="bullet"/>
      <w:lvlText w:val=""/>
      <w:lvlJc w:val="left"/>
      <w:pPr>
        <w:tabs>
          <w:tab w:val="num" w:pos="1080"/>
        </w:tabs>
        <w:ind w:left="1080" w:hanging="360"/>
      </w:pPr>
      <w:rPr>
        <w:rFonts w:ascii="Wingdings" w:hAnsi="Wingding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5E85339"/>
    <w:multiLevelType w:val="hybridMultilevel"/>
    <w:tmpl w:val="8304A4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A16988"/>
    <w:multiLevelType w:val="hybridMultilevel"/>
    <w:tmpl w:val="BB506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DE2B62"/>
    <w:multiLevelType w:val="hybridMultilevel"/>
    <w:tmpl w:val="1BC26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D13107"/>
    <w:multiLevelType w:val="hybridMultilevel"/>
    <w:tmpl w:val="D0DABF0C"/>
    <w:lvl w:ilvl="0" w:tplc="A82E8A30">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DC6400E"/>
    <w:multiLevelType w:val="hybridMultilevel"/>
    <w:tmpl w:val="124A1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442DDC"/>
    <w:multiLevelType w:val="hybridMultilevel"/>
    <w:tmpl w:val="843C6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6587C89"/>
    <w:multiLevelType w:val="hybridMultilevel"/>
    <w:tmpl w:val="DBDACFAE"/>
    <w:lvl w:ilvl="0" w:tplc="5DAE5E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7B96D33"/>
    <w:multiLevelType w:val="hybridMultilevel"/>
    <w:tmpl w:val="E450872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nsid w:val="3D855884"/>
    <w:multiLevelType w:val="multilevel"/>
    <w:tmpl w:val="73CCF3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0E01A71"/>
    <w:multiLevelType w:val="hybridMultilevel"/>
    <w:tmpl w:val="DEF26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D0449A"/>
    <w:multiLevelType w:val="hybridMultilevel"/>
    <w:tmpl w:val="2E3E8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9C957A0"/>
    <w:multiLevelType w:val="hybridMultilevel"/>
    <w:tmpl w:val="A62ED00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4E9F7A5F"/>
    <w:multiLevelType w:val="hybridMultilevel"/>
    <w:tmpl w:val="18B0A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8241308"/>
    <w:multiLevelType w:val="hybridMultilevel"/>
    <w:tmpl w:val="54907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C921605"/>
    <w:multiLevelType w:val="hybridMultilevel"/>
    <w:tmpl w:val="71BC91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D97CA6"/>
    <w:multiLevelType w:val="hybridMultilevel"/>
    <w:tmpl w:val="6A001F76"/>
    <w:lvl w:ilvl="0" w:tplc="8E5A859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nsid w:val="77EB32FB"/>
    <w:multiLevelType w:val="multilevel"/>
    <w:tmpl w:val="2DB6E5A4"/>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3"/>
  </w:num>
  <w:num w:numId="3">
    <w:abstractNumId w:val="17"/>
  </w:num>
  <w:num w:numId="4">
    <w:abstractNumId w:val="12"/>
  </w:num>
  <w:num w:numId="5">
    <w:abstractNumId w:val="7"/>
  </w:num>
  <w:num w:numId="6">
    <w:abstractNumId w:val="5"/>
  </w:num>
  <w:num w:numId="7">
    <w:abstractNumId w:val="0"/>
  </w:num>
  <w:num w:numId="8">
    <w:abstractNumId w:val="11"/>
  </w:num>
  <w:num w:numId="9">
    <w:abstractNumId w:val="9"/>
  </w:num>
  <w:num w:numId="10">
    <w:abstractNumId w:val="10"/>
  </w:num>
  <w:num w:numId="11">
    <w:abstractNumId w:val="1"/>
  </w:num>
  <w:num w:numId="12">
    <w:abstractNumId w:val="4"/>
  </w:num>
  <w:num w:numId="13">
    <w:abstractNumId w:val="13"/>
  </w:num>
  <w:num w:numId="14">
    <w:abstractNumId w:val="18"/>
  </w:num>
  <w:num w:numId="15">
    <w:abstractNumId w:val="2"/>
  </w:num>
  <w:num w:numId="16">
    <w:abstractNumId w:val="6"/>
  </w:num>
  <w:num w:numId="17">
    <w:abstractNumId w:val="19"/>
  </w:num>
  <w:num w:numId="18">
    <w:abstractNumId w:val="16"/>
  </w:num>
  <w:num w:numId="19">
    <w:abstractNumId w:val="15"/>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CD5CA6"/>
    <w:rsid w:val="00061787"/>
    <w:rsid w:val="000775B8"/>
    <w:rsid w:val="000A217D"/>
    <w:rsid w:val="000F1BA2"/>
    <w:rsid w:val="001873E9"/>
    <w:rsid w:val="001A7700"/>
    <w:rsid w:val="00230A9D"/>
    <w:rsid w:val="0024539A"/>
    <w:rsid w:val="002665F9"/>
    <w:rsid w:val="002B7B3C"/>
    <w:rsid w:val="002D7792"/>
    <w:rsid w:val="002E0E26"/>
    <w:rsid w:val="003B5DB0"/>
    <w:rsid w:val="00437A8A"/>
    <w:rsid w:val="004B7CD6"/>
    <w:rsid w:val="004F75CE"/>
    <w:rsid w:val="005C5BEF"/>
    <w:rsid w:val="005D591B"/>
    <w:rsid w:val="00603B35"/>
    <w:rsid w:val="006B6EFB"/>
    <w:rsid w:val="006E500E"/>
    <w:rsid w:val="006F26C1"/>
    <w:rsid w:val="007E2A63"/>
    <w:rsid w:val="00993D9C"/>
    <w:rsid w:val="009E1AA9"/>
    <w:rsid w:val="009F1041"/>
    <w:rsid w:val="00AE2FD6"/>
    <w:rsid w:val="00B54859"/>
    <w:rsid w:val="00B7218E"/>
    <w:rsid w:val="00C2345A"/>
    <w:rsid w:val="00C2518B"/>
    <w:rsid w:val="00C30ADF"/>
    <w:rsid w:val="00CD5CA6"/>
    <w:rsid w:val="00CF4882"/>
    <w:rsid w:val="00D04EE6"/>
    <w:rsid w:val="00D103FD"/>
    <w:rsid w:val="00DC755A"/>
    <w:rsid w:val="00E70A3F"/>
    <w:rsid w:val="00EA3248"/>
    <w:rsid w:val="00F07131"/>
    <w:rsid w:val="00F12640"/>
    <w:rsid w:val="00F27541"/>
    <w:rsid w:val="00F51E91"/>
    <w:rsid w:val="00FC3639"/>
    <w:rsid w:val="00FC4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1041"/>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F1041"/>
    <w:pPr>
      <w:spacing w:before="60" w:after="120" w:line="360" w:lineRule="atLeast"/>
      <w:ind w:left="60"/>
    </w:pPr>
    <w:rPr>
      <w:rFonts w:ascii="Verdana" w:hAnsi="Verdana"/>
      <w:color w:val="000000"/>
      <w:sz w:val="20"/>
      <w:szCs w:val="20"/>
    </w:rPr>
  </w:style>
  <w:style w:type="paragraph" w:styleId="Header">
    <w:name w:val="header"/>
    <w:basedOn w:val="Normal"/>
    <w:rsid w:val="00437A8A"/>
    <w:pPr>
      <w:tabs>
        <w:tab w:val="center" w:pos="4320"/>
        <w:tab w:val="right" w:pos="8640"/>
      </w:tabs>
    </w:pPr>
  </w:style>
  <w:style w:type="paragraph" w:styleId="Footer">
    <w:name w:val="footer"/>
    <w:basedOn w:val="Normal"/>
    <w:rsid w:val="00437A8A"/>
    <w:pPr>
      <w:tabs>
        <w:tab w:val="center" w:pos="4320"/>
        <w:tab w:val="right" w:pos="8640"/>
      </w:tabs>
    </w:pPr>
  </w:style>
  <w:style w:type="paragraph" w:styleId="BalloonText">
    <w:name w:val="Balloon Text"/>
    <w:basedOn w:val="Normal"/>
    <w:semiHidden/>
    <w:rsid w:val="006E500E"/>
    <w:rPr>
      <w:rFonts w:ascii="Tahoma" w:hAnsi="Tahoma" w:cs="Tahoma"/>
      <w:sz w:val="16"/>
      <w:szCs w:val="16"/>
    </w:rPr>
  </w:style>
  <w:style w:type="character" w:styleId="Hyperlink">
    <w:name w:val="Hyperlink"/>
    <w:basedOn w:val="DefaultParagraphFont"/>
    <w:rsid w:val="00F51E91"/>
    <w:rPr>
      <w:color w:val="0000FF" w:themeColor="hyperlink"/>
      <w:u w:val="single"/>
    </w:rPr>
  </w:style>
  <w:style w:type="paragraph" w:styleId="BodyTextIndent">
    <w:name w:val="Body Text Indent"/>
    <w:basedOn w:val="Normal"/>
    <w:link w:val="BodyTextIndentChar"/>
    <w:rsid w:val="002B7B3C"/>
    <w:pPr>
      <w:spacing w:after="120"/>
      <w:ind w:left="360"/>
    </w:pPr>
  </w:style>
  <w:style w:type="character" w:customStyle="1" w:styleId="BodyTextIndentChar">
    <w:name w:val="Body Text Indent Char"/>
    <w:basedOn w:val="DefaultParagraphFont"/>
    <w:link w:val="BodyTextIndent"/>
    <w:rsid w:val="002B7B3C"/>
    <w:rPr>
      <w:sz w:val="24"/>
      <w:szCs w:val="24"/>
    </w:rPr>
  </w:style>
</w:styles>
</file>

<file path=word/webSettings.xml><?xml version="1.0" encoding="utf-8"?>
<w:webSettings xmlns:r="http://schemas.openxmlformats.org/officeDocument/2006/relationships" xmlns:w="http://schemas.openxmlformats.org/wordprocessingml/2006/main">
  <w:divs>
    <w:div w:id="195875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marlowe.mc.duke.edu/icons/ecblank.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E8B760E2DF244AA350C226C42F9E2A" ma:contentTypeVersion="1" ma:contentTypeDescription="Create a new document." ma:contentTypeScope="" ma:versionID="4e191a84a32009558f239e3968aadc1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29D337-037D-4756-A40F-602483D980B3}"/>
</file>

<file path=customXml/itemProps2.xml><?xml version="1.0" encoding="utf-8"?>
<ds:datastoreItem xmlns:ds="http://schemas.openxmlformats.org/officeDocument/2006/customXml" ds:itemID="{AA10994D-719F-405E-929C-8DE0F9CB7DCA}"/>
</file>

<file path=customXml/itemProps3.xml><?xml version="1.0" encoding="utf-8"?>
<ds:datastoreItem xmlns:ds="http://schemas.openxmlformats.org/officeDocument/2006/customXml" ds:itemID="{4ADFB921-6BA4-4A7E-85CB-3B9C40D661A3}"/>
</file>

<file path=docProps/app.xml><?xml version="1.0" encoding="utf-8"?>
<Properties xmlns="http://schemas.openxmlformats.org/officeDocument/2006/extended-properties" xmlns:vt="http://schemas.openxmlformats.org/officeDocument/2006/docPropsVTypes">
  <Template>Normal.dotm</Template>
  <TotalTime>8</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Duke Standard Operating Procedure Template</vt:lpstr>
    </vt:vector>
  </TitlesOfParts>
  <Company>School of Medicine</Company>
  <LinksUpToDate>false</LinksUpToDate>
  <CharactersWithSpaces>2502</CharactersWithSpaces>
  <SharedDoc>false</SharedDoc>
  <HLinks>
    <vt:vector size="6" baseType="variant">
      <vt:variant>
        <vt:i4>262224</vt:i4>
      </vt:variant>
      <vt:variant>
        <vt:i4>5993</vt:i4>
      </vt:variant>
      <vt:variant>
        <vt:i4>1025</vt:i4>
      </vt:variant>
      <vt:variant>
        <vt:i4>1</vt:i4>
      </vt:variant>
      <vt:variant>
        <vt:lpwstr>http://marlowe.mc.duke.edu/icons/ecblank.gif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Duke Standard Operating Procedure Template</dc:title>
  <dc:subject/>
  <dc:creator>moori001</dc:creator>
  <cp:keywords/>
  <dc:description/>
  <cp:lastModifiedBy>q729368</cp:lastModifiedBy>
  <cp:revision>4</cp:revision>
  <cp:lastPrinted>2006-09-25T21:07:00Z</cp:lastPrinted>
  <dcterms:created xsi:type="dcterms:W3CDTF">2014-02-16T19:03:00Z</dcterms:created>
  <dcterms:modified xsi:type="dcterms:W3CDTF">2014-02-16T19:11:00Z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0x01010052E8B760E2DF244AA350C226C42F9E2A</vt:lpwstr>
  </property>
</Properties>
</file>