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bCs/>
          <w:color w:val="000000"/>
          <w:u w:val="single"/>
        </w:rPr>
        <w:t>PURPOSE:</w:t>
      </w:r>
      <w:r w:rsidRPr="00BA724A">
        <w:rPr>
          <w:rFonts w:ascii="Garamond" w:hAnsi="Garamond"/>
          <w:color w:val="000000"/>
        </w:rPr>
        <w:t xml:space="preserve">  </w:t>
      </w:r>
      <w:r w:rsidR="00815442">
        <w:rPr>
          <w:rFonts w:ascii="Garamond" w:hAnsi="Garamond"/>
          <w:color w:val="000000"/>
        </w:rPr>
        <w:t>To ensure proper collection and handling of laboratory samples.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565D3A" w:rsidRDefault="000A6140" w:rsidP="00565D3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SCOPE:</w:t>
      </w:r>
      <w:r w:rsidRPr="00BA724A">
        <w:rPr>
          <w:rFonts w:ascii="Garamond" w:hAnsi="Garamond"/>
          <w:color w:val="000000"/>
        </w:rPr>
        <w:t xml:space="preserve"> </w:t>
      </w:r>
      <w:r w:rsidR="00565D3A">
        <w:rPr>
          <w:rFonts w:ascii="Garamond" w:hAnsi="Garamond"/>
          <w:color w:val="000000"/>
        </w:rPr>
        <w:t xml:space="preserve">Applies to all site personnel involved in the implementation and coordination of clinical research.     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 xml:space="preserve">PERSONNEL RESPONSIBLE: </w:t>
      </w:r>
      <w:r w:rsidR="00A31230">
        <w:rPr>
          <w:rFonts w:ascii="Garamond" w:hAnsi="Garamond"/>
          <w:color w:val="000000"/>
        </w:rPr>
        <w:t xml:space="preserve"> Principal Investigator, Sub-I</w:t>
      </w:r>
      <w:r w:rsidRPr="00BA724A">
        <w:rPr>
          <w:rFonts w:ascii="Garamond" w:hAnsi="Garamond"/>
          <w:color w:val="000000"/>
        </w:rPr>
        <w:t xml:space="preserve">nvestigators, Study Coordinator and/or other pertinent </w:t>
      </w:r>
      <w:r w:rsidR="00461604">
        <w:rPr>
          <w:rFonts w:ascii="Garamond" w:hAnsi="Garamond"/>
          <w:color w:val="000000"/>
        </w:rPr>
        <w:t>staff who will conduct research.</w:t>
      </w:r>
      <w:r w:rsidRPr="00BA724A">
        <w:rPr>
          <w:rFonts w:ascii="Garamond" w:hAnsi="Garamond"/>
          <w:color w:val="000000"/>
        </w:rPr>
        <w:t xml:space="preserve">   </w:t>
      </w:r>
    </w:p>
    <w:p w:rsidR="00E54354" w:rsidRPr="00BA724A" w:rsidRDefault="00E54354" w:rsidP="00E54354">
      <w:pPr>
        <w:rPr>
          <w:rFonts w:ascii="Garamond" w:hAnsi="Garamond"/>
          <w:b/>
          <w:color w:val="000000"/>
          <w:u w:val="single"/>
        </w:rPr>
      </w:pPr>
    </w:p>
    <w:p w:rsidR="000A6140" w:rsidRDefault="000A6140" w:rsidP="00E54354">
      <w:pPr>
        <w:rPr>
          <w:rFonts w:ascii="Garamond" w:hAnsi="Garamond"/>
          <w:b/>
          <w:bCs/>
          <w:color w:val="000000"/>
          <w:u w:val="single"/>
        </w:rPr>
      </w:pPr>
      <w:r w:rsidRPr="00BA724A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815442" w:rsidRPr="00815442" w:rsidRDefault="00815442" w:rsidP="00815442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 xml:space="preserve">All </w:t>
      </w:r>
      <w:r w:rsidR="00A31230">
        <w:rPr>
          <w:rFonts w:ascii="Garamond" w:hAnsi="Garamond"/>
          <w:bCs/>
          <w:color w:val="000000"/>
        </w:rPr>
        <w:t xml:space="preserve">relevant </w:t>
      </w:r>
      <w:r>
        <w:rPr>
          <w:rFonts w:ascii="Garamond" w:hAnsi="Garamond"/>
          <w:bCs/>
          <w:color w:val="000000"/>
        </w:rPr>
        <w:t>staff should be properly trained prior to completing any preparation, collection, handling, and shipping of laboratory samples.</w:t>
      </w:r>
    </w:p>
    <w:p w:rsidR="00815442" w:rsidRPr="00815442" w:rsidRDefault="00815442" w:rsidP="00815442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>Site staff member should wear proper protective equipment (i.e. gloves, lab coat, glasses) when completing tasks associated with laboratory samples.</w:t>
      </w:r>
    </w:p>
    <w:p w:rsidR="00815442" w:rsidRPr="00815442" w:rsidRDefault="00815442" w:rsidP="00815442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>Site staff member should refer to laboratory manual and protocol for study specific guidelines of handling, processing, and shipping of laboratory samples.</w:t>
      </w:r>
    </w:p>
    <w:p w:rsidR="00815442" w:rsidRPr="00815442" w:rsidRDefault="00815442" w:rsidP="00815442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 xml:space="preserve">If site staff member is exposed to any </w:t>
      </w:r>
      <w:r w:rsidR="004729E0">
        <w:rPr>
          <w:rFonts w:ascii="Garamond" w:hAnsi="Garamond"/>
          <w:bCs/>
          <w:color w:val="000000"/>
        </w:rPr>
        <w:t xml:space="preserve">laboratory </w:t>
      </w:r>
      <w:r>
        <w:rPr>
          <w:rFonts w:ascii="Garamond" w:hAnsi="Garamond"/>
          <w:bCs/>
          <w:color w:val="000000"/>
        </w:rPr>
        <w:t>sample, it should be handled per local requirements.</w:t>
      </w:r>
    </w:p>
    <w:p w:rsidR="00815442" w:rsidRPr="00BA724A" w:rsidRDefault="004729E0" w:rsidP="00815442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 xml:space="preserve">Laboratory sample processing area should be cleaned </w:t>
      </w:r>
      <w:r w:rsidR="00A31230">
        <w:rPr>
          <w:rFonts w:ascii="Garamond" w:hAnsi="Garamond"/>
          <w:bCs/>
          <w:color w:val="000000"/>
        </w:rPr>
        <w:t xml:space="preserve">as necessary </w:t>
      </w:r>
      <w:r>
        <w:rPr>
          <w:rFonts w:ascii="Garamond" w:hAnsi="Garamond"/>
          <w:bCs/>
          <w:color w:val="000000"/>
        </w:rPr>
        <w:t>after each sample is processed and remained cleaned when area is not being utilized.</w:t>
      </w:r>
    </w:p>
    <w:p w:rsidR="00857215" w:rsidRPr="00BA724A" w:rsidRDefault="00857215" w:rsidP="00857215">
      <w:pPr>
        <w:ind w:left="360"/>
        <w:rPr>
          <w:rFonts w:ascii="Garamond" w:hAnsi="Garamond"/>
          <w:color w:val="000000"/>
        </w:rPr>
      </w:pPr>
    </w:p>
    <w:p w:rsidR="000A6140" w:rsidRDefault="00B56429" w:rsidP="00E54354">
      <w:pPr>
        <w:rPr>
          <w:rFonts w:ascii="Garamond" w:hAnsi="Garamond"/>
          <w:b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RESOURCES:</w:t>
      </w:r>
      <w:r w:rsidRPr="00BA724A">
        <w:rPr>
          <w:rFonts w:ascii="Garamond" w:hAnsi="Garamond"/>
          <w:b/>
          <w:color w:val="000000"/>
        </w:rPr>
        <w:t xml:space="preserve"> </w:t>
      </w:r>
    </w:p>
    <w:p w:rsidR="004729E0" w:rsidRPr="004729E0" w:rsidRDefault="00A31230" w:rsidP="004729E0">
      <w:pPr>
        <w:numPr>
          <w:ilvl w:val="0"/>
          <w:numId w:val="9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OSHA, IATA (HAZMAT)</w:t>
      </w:r>
    </w:p>
    <w:p w:rsidR="00E54354" w:rsidRPr="00BA724A" w:rsidRDefault="00E54354" w:rsidP="00E54354">
      <w:pPr>
        <w:ind w:left="60"/>
        <w:rPr>
          <w:rFonts w:ascii="Garamond" w:hAnsi="Garamond"/>
          <w:color w:val="000000"/>
        </w:rPr>
      </w:pPr>
    </w:p>
    <w:p w:rsidR="000A6140" w:rsidRDefault="000A6140" w:rsidP="00E54354">
      <w:pPr>
        <w:rPr>
          <w:rFonts w:ascii="Garamond" w:hAnsi="Garamond"/>
          <w:b/>
          <w:color w:val="000000"/>
          <w:u w:val="single"/>
        </w:rPr>
      </w:pPr>
      <w:r w:rsidRPr="00BA724A">
        <w:rPr>
          <w:rFonts w:ascii="Garamond" w:hAnsi="Garamond"/>
          <w:b/>
          <w:color w:val="000000"/>
          <w:u w:val="single"/>
        </w:rPr>
        <w:t>TOOLS</w:t>
      </w:r>
      <w:r w:rsidR="00461604">
        <w:rPr>
          <w:rFonts w:ascii="Garamond" w:hAnsi="Garamond"/>
          <w:b/>
          <w:color w:val="000000"/>
          <w:u w:val="single"/>
        </w:rPr>
        <w:t>:</w:t>
      </w:r>
    </w:p>
    <w:p w:rsidR="004729E0" w:rsidRDefault="004729E0" w:rsidP="004729E0">
      <w:pPr>
        <w:numPr>
          <w:ilvl w:val="0"/>
          <w:numId w:val="8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Laboratory manual</w:t>
      </w:r>
    </w:p>
    <w:p w:rsidR="004729E0" w:rsidRPr="004729E0" w:rsidRDefault="004729E0" w:rsidP="004729E0">
      <w:pPr>
        <w:numPr>
          <w:ilvl w:val="0"/>
          <w:numId w:val="8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Protocol</w:t>
      </w:r>
    </w:p>
    <w:sectPr w:rsidR="004729E0" w:rsidRPr="004729E0" w:rsidSect="00860C4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16" w:rsidRDefault="00476B16">
      <w:r>
        <w:separator/>
      </w:r>
    </w:p>
  </w:endnote>
  <w:endnote w:type="continuationSeparator" w:id="0">
    <w:p w:rsidR="00476B16" w:rsidRDefault="0047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Default="00735E67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</w:tr>
  </w:tbl>
  <w:p w:rsidR="00735E67" w:rsidRPr="00BA724A" w:rsidRDefault="00735E67" w:rsidP="00857215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16" w:rsidRDefault="00476B16">
      <w:r>
        <w:separator/>
      </w:r>
    </w:p>
  </w:footnote>
  <w:footnote w:type="continuationSeparator" w:id="0">
    <w:p w:rsidR="00476B16" w:rsidRDefault="0047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Pr="00BA724A" w:rsidRDefault="00BA724A" w:rsidP="00857215">
    <w:pPr>
      <w:jc w:val="center"/>
      <w:rPr>
        <w:rFonts w:ascii="Century Gothic" w:hAnsi="Century Gothic"/>
        <w:color w:val="000000"/>
      </w:rPr>
    </w:pPr>
    <w:r w:rsidRPr="00BA724A">
      <w:rPr>
        <w:rFonts w:ascii="Century Gothic" w:hAnsi="Century Gothic"/>
        <w:b/>
        <w:bCs/>
        <w:color w:val="000000"/>
        <w:sz w:val="27"/>
        <w:szCs w:val="27"/>
      </w:rPr>
      <w:t xml:space="preserve">[Insert facility name] </w:t>
    </w:r>
    <w:r w:rsidR="00735E67" w:rsidRPr="00BA724A">
      <w:rPr>
        <w:rFonts w:ascii="Century Gothic" w:hAnsi="Century Gothic"/>
        <w:b/>
        <w:bCs/>
        <w:color w:val="000000"/>
        <w:sz w:val="27"/>
        <w:szCs w:val="27"/>
      </w:rPr>
      <w:t xml:space="preserve">Standard Operating Procedure 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461604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815442">
            <w:rPr>
              <w:rFonts w:ascii="Century Gothic" w:hAnsi="Century Gothic"/>
              <w:b/>
              <w:bCs/>
              <w:color w:val="000000"/>
            </w:rPr>
            <w:t>Preparation and Handling of Laboratory Samples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Page </w: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A31230">
            <w:rPr>
              <w:rFonts w:ascii="Century Gothic" w:hAnsi="Century Gothic"/>
              <w:b/>
              <w:noProof/>
              <w:color w:val="000000"/>
            </w:rPr>
            <w:t>1</w: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end"/>
          </w:r>
          <w:r w:rsidRPr="00BA724A">
            <w:rPr>
              <w:rFonts w:ascii="Century Gothic" w:hAnsi="Century Gothic"/>
              <w:b/>
              <w:color w:val="000000"/>
            </w:rPr>
            <w:t xml:space="preserve"> of </w: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A31230">
            <w:rPr>
              <w:rFonts w:ascii="Century Gothic" w:hAnsi="Century Gothic"/>
              <w:b/>
              <w:noProof/>
              <w:color w:val="000000"/>
            </w:rPr>
            <w:t>1</w:t>
          </w:r>
          <w:r w:rsidR="00503044" w:rsidRPr="00BA724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735E67" w:rsidRDefault="00735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0E4D"/>
    <w:multiLevelType w:val="hybridMultilevel"/>
    <w:tmpl w:val="AD24CC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F374837"/>
    <w:multiLevelType w:val="hybridMultilevel"/>
    <w:tmpl w:val="4D9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27C"/>
    <w:multiLevelType w:val="hybridMultilevel"/>
    <w:tmpl w:val="59FE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67C16"/>
    <w:multiLevelType w:val="hybridMultilevel"/>
    <w:tmpl w:val="F5F08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4400B9"/>
    <w:multiLevelType w:val="hybridMultilevel"/>
    <w:tmpl w:val="CE2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C0E64"/>
    <w:multiLevelType w:val="hybridMultilevel"/>
    <w:tmpl w:val="B65EBD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5CE2935"/>
    <w:multiLevelType w:val="hybridMultilevel"/>
    <w:tmpl w:val="EB3AB8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0A6140"/>
    <w:rsid w:val="000D7EF0"/>
    <w:rsid w:val="00102D38"/>
    <w:rsid w:val="0014488F"/>
    <w:rsid w:val="00225251"/>
    <w:rsid w:val="003A464F"/>
    <w:rsid w:val="00461604"/>
    <w:rsid w:val="004729E0"/>
    <w:rsid w:val="00476B16"/>
    <w:rsid w:val="0049412B"/>
    <w:rsid w:val="00503044"/>
    <w:rsid w:val="00565D3A"/>
    <w:rsid w:val="00580CEE"/>
    <w:rsid w:val="0058725F"/>
    <w:rsid w:val="00622FA4"/>
    <w:rsid w:val="00697C6A"/>
    <w:rsid w:val="00735E67"/>
    <w:rsid w:val="00754363"/>
    <w:rsid w:val="00754474"/>
    <w:rsid w:val="00812F78"/>
    <w:rsid w:val="00815442"/>
    <w:rsid w:val="00857215"/>
    <w:rsid w:val="00860C46"/>
    <w:rsid w:val="00893BD9"/>
    <w:rsid w:val="008F6146"/>
    <w:rsid w:val="00A31230"/>
    <w:rsid w:val="00AA7E5F"/>
    <w:rsid w:val="00AD2D55"/>
    <w:rsid w:val="00AF7B25"/>
    <w:rsid w:val="00B56429"/>
    <w:rsid w:val="00B63018"/>
    <w:rsid w:val="00BA724A"/>
    <w:rsid w:val="00C4055D"/>
    <w:rsid w:val="00CD5CA6"/>
    <w:rsid w:val="00CF252C"/>
    <w:rsid w:val="00D24B16"/>
    <w:rsid w:val="00DE59C6"/>
    <w:rsid w:val="00E54354"/>
    <w:rsid w:val="00E5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140"/>
    <w:rPr>
      <w:color w:val="0000FF"/>
      <w:u w:val="single"/>
    </w:rPr>
  </w:style>
  <w:style w:type="paragraph" w:styleId="Header">
    <w:name w:val="header"/>
    <w:basedOn w:val="Normal"/>
    <w:rsid w:val="00144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215"/>
  </w:style>
  <w:style w:type="paragraph" w:styleId="BalloonText">
    <w:name w:val="Balloon Text"/>
    <w:basedOn w:val="Normal"/>
    <w:semiHidden/>
    <w:rsid w:val="0058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E402A2-1ED6-4EE9-BC8B-F1D23E52FE76}"/>
</file>

<file path=customXml/itemProps2.xml><?xml version="1.0" encoding="utf-8"?>
<ds:datastoreItem xmlns:ds="http://schemas.openxmlformats.org/officeDocument/2006/customXml" ds:itemID="{69F3F7A2-64CC-4EA3-AACA-DA07A005ABAC}"/>
</file>

<file path=customXml/itemProps3.xml><?xml version="1.0" encoding="utf-8"?>
<ds:datastoreItem xmlns:ds="http://schemas.openxmlformats.org/officeDocument/2006/customXml" ds:itemID="{ADCFE9CB-B106-45A3-A67B-5E9A2A76D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2006-09-25T20:30:00Z</cp:lastPrinted>
  <dcterms:created xsi:type="dcterms:W3CDTF">2014-02-16T18:32:00Z</dcterms:created>
  <dcterms:modified xsi:type="dcterms:W3CDTF">2014-02-16T18:33:00Z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